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BFC" w:rsidRDefault="00C90BFC"/>
    <w:p w:rsidR="00C90BFC" w:rsidRDefault="0021500D">
      <w:pPr>
        <w:pStyle w:val="a6"/>
        <w:widowControl/>
        <w:spacing w:before="0" w:beforeAutospacing="0" w:after="0" w:afterAutospacing="0" w:line="578" w:lineRule="exact"/>
        <w:jc w:val="center"/>
        <w:rPr>
          <w:rFonts w:ascii="Times New Roman" w:eastAsia="方正小标宋简体" w:hAnsi="Times New Roman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/>
          <w:sz w:val="44"/>
          <w:szCs w:val="44"/>
          <w:shd w:val="clear" w:color="auto" w:fill="FFFFFF"/>
        </w:rPr>
        <w:t>2025</w:t>
      </w:r>
      <w:r>
        <w:rPr>
          <w:rFonts w:ascii="Times New Roman" w:eastAsia="方正小标宋简体" w:hAnsi="Times New Roman"/>
          <w:sz w:val="44"/>
          <w:szCs w:val="44"/>
          <w:shd w:val="clear" w:color="auto" w:fill="FFFFFF"/>
        </w:rPr>
        <w:t>年度</w:t>
      </w:r>
      <w:r>
        <w:rPr>
          <w:rFonts w:ascii="Times New Roman" w:eastAsia="方正小标宋简体" w:hAnsi="Times New Roman" w:hint="eastAsia"/>
          <w:sz w:val="44"/>
          <w:szCs w:val="44"/>
          <w:shd w:val="clear" w:color="auto" w:fill="FFFFFF"/>
        </w:rPr>
        <w:t>泸县自然资源和规划局</w:t>
      </w:r>
      <w:r>
        <w:rPr>
          <w:rFonts w:ascii="Times New Roman" w:eastAsia="方正小标宋简体" w:hAnsi="Times New Roman"/>
          <w:sz w:val="44"/>
          <w:szCs w:val="44"/>
          <w:shd w:val="clear" w:color="auto" w:fill="FFFFFF"/>
        </w:rPr>
        <w:t>部</w:t>
      </w:r>
      <w:proofErr w:type="gramStart"/>
      <w:r>
        <w:rPr>
          <w:rFonts w:ascii="Times New Roman" w:eastAsia="方正小标宋简体" w:hAnsi="Times New Roman"/>
          <w:sz w:val="44"/>
          <w:szCs w:val="44"/>
          <w:shd w:val="clear" w:color="auto" w:fill="FFFFFF"/>
        </w:rPr>
        <w:t>门整体</w:t>
      </w:r>
      <w:proofErr w:type="gramEnd"/>
      <w:r>
        <w:rPr>
          <w:rFonts w:ascii="Times New Roman" w:eastAsia="方正小标宋简体" w:hAnsi="Times New Roman"/>
          <w:sz w:val="44"/>
          <w:szCs w:val="44"/>
          <w:shd w:val="clear" w:color="auto" w:fill="FFFFFF"/>
        </w:rPr>
        <w:t>绩效目标申报表</w:t>
      </w:r>
    </w:p>
    <w:p w:rsidR="00C90BFC" w:rsidRDefault="00C90BFC"/>
    <w:tbl>
      <w:tblPr>
        <w:tblW w:w="9060" w:type="dxa"/>
        <w:jc w:val="center"/>
        <w:tblLayout w:type="fixed"/>
        <w:tblLook w:val="04A0"/>
      </w:tblPr>
      <w:tblGrid>
        <w:gridCol w:w="530"/>
        <w:gridCol w:w="1063"/>
        <w:gridCol w:w="1068"/>
        <w:gridCol w:w="1068"/>
        <w:gridCol w:w="1063"/>
        <w:gridCol w:w="1063"/>
        <w:gridCol w:w="1068"/>
        <w:gridCol w:w="1068"/>
        <w:gridCol w:w="1069"/>
      </w:tblGrid>
      <w:tr w:rsidR="00C90BFC">
        <w:trPr>
          <w:trHeight w:val="300"/>
          <w:jc w:val="center"/>
        </w:trPr>
        <w:tc>
          <w:tcPr>
            <w:tcW w:w="2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部门名称</w:t>
            </w:r>
          </w:p>
        </w:tc>
        <w:tc>
          <w:tcPr>
            <w:tcW w:w="6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泸县自然资源和规划局部门（单位）</w:t>
            </w:r>
          </w:p>
        </w:tc>
      </w:tr>
      <w:tr w:rsidR="00C90BFC">
        <w:trPr>
          <w:trHeight w:val="151"/>
          <w:jc w:val="center"/>
        </w:trPr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年度部门整体预算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资金总额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财政拨款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其他资金</w:t>
            </w:r>
          </w:p>
        </w:tc>
      </w:tr>
      <w:tr w:rsidR="00C90BFC">
        <w:trPr>
          <w:trHeight w:val="151"/>
          <w:jc w:val="center"/>
        </w:trPr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收入预算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4806.48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4806.48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FC" w:rsidRDefault="00C90B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90BFC">
        <w:trPr>
          <w:trHeight w:val="300"/>
          <w:jc w:val="center"/>
        </w:trPr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FC" w:rsidRDefault="0021500D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支出预算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4806.48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4806.48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C90B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90BFC">
        <w:trPr>
          <w:trHeight w:val="300"/>
          <w:jc w:val="center"/>
        </w:trPr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6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pStyle w:val="a3"/>
              <w:adjustRightInd w:val="0"/>
              <w:snapToGrid w:val="0"/>
              <w:spacing w:before="93" w:line="578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严格贯彻落实上级耕地保护文件精神和工作部署，出台耕地保护若干硬措施，纵深推进田长制，抗牢耕地保护政治责任；按照国、省、市统一部署，改革完善耕地占补平衡制度，推动</w:t>
            </w:r>
            <w:r>
              <w:rPr>
                <w:rFonts w:ascii="仿宋" w:eastAsia="仿宋" w:hAnsi="仿宋"/>
                <w:sz w:val="32"/>
                <w:szCs w:val="32"/>
              </w:rPr>
              <w:t>“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小占补</w:t>
            </w:r>
            <w:r>
              <w:rPr>
                <w:rFonts w:ascii="仿宋" w:eastAsia="仿宋" w:hAnsi="仿宋"/>
                <w:sz w:val="32"/>
                <w:szCs w:val="32"/>
              </w:rPr>
              <w:t>”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变</w:t>
            </w:r>
            <w:r>
              <w:rPr>
                <w:rFonts w:ascii="仿宋" w:eastAsia="仿宋" w:hAnsi="仿宋"/>
                <w:sz w:val="32"/>
                <w:szCs w:val="32"/>
              </w:rPr>
              <w:t>“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大占补</w:t>
            </w:r>
            <w:r>
              <w:rPr>
                <w:rFonts w:ascii="仿宋" w:eastAsia="仿宋" w:hAnsi="仿宋"/>
                <w:sz w:val="32"/>
                <w:szCs w:val="32"/>
              </w:rPr>
              <w:t>”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；统筹耕地动态监测、国土年度变更调查，及时分析、预警耕地变化趋势和土地利用现状，有序推进耕地常态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化恢复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补充，确保</w:t>
            </w:r>
            <w:r>
              <w:rPr>
                <w:rFonts w:ascii="仿宋" w:eastAsia="仿宋" w:hAnsi="仿宋"/>
                <w:sz w:val="32"/>
                <w:szCs w:val="32"/>
              </w:rPr>
              <w:t>2025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年耕地总量稳中有增。</w:t>
            </w:r>
          </w:p>
          <w:p w:rsidR="00C90BFC" w:rsidRDefault="00C90BF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90BFC">
        <w:trPr>
          <w:trHeight w:val="300"/>
          <w:jc w:val="center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管理效率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指标设置参考值</w:t>
            </w:r>
          </w:p>
        </w:tc>
      </w:tr>
      <w:tr w:rsidR="00C90BFC">
        <w:trPr>
          <w:trHeight w:val="300"/>
          <w:jc w:val="center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C90BFC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C90B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C90B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C90B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C90B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三年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</w:t>
            </w:r>
            <w:r>
              <w:rPr>
                <w:rStyle w:val="font21"/>
                <w:rFonts w:hint="default"/>
              </w:rPr>
              <w:t>年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2023</w:t>
            </w:r>
            <w:r>
              <w:rPr>
                <w:rStyle w:val="font21"/>
                <w:rFonts w:hint="default"/>
              </w:rPr>
              <w:t>年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2024</w:t>
            </w:r>
            <w:r>
              <w:rPr>
                <w:rStyle w:val="font21"/>
                <w:rFonts w:hint="default"/>
              </w:rPr>
              <w:t>年</w:t>
            </w:r>
          </w:p>
        </w:tc>
      </w:tr>
      <w:tr w:rsidR="00C90BFC">
        <w:trPr>
          <w:trHeight w:val="270"/>
          <w:jc w:val="center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C90BFC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C90B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C90B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C90B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C90B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均值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C90B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C90B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C90B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90BFC">
        <w:trPr>
          <w:trHeight w:val="795"/>
          <w:jc w:val="center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C90BFC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预算管理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财政拨款</w:t>
            </w:r>
            <w:r>
              <w:rPr>
                <w:rStyle w:val="font21"/>
                <w:rFonts w:hint="default"/>
              </w:rPr>
              <w:t>预算编制偏离度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733%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733</w:t>
            </w:r>
            <w:r>
              <w:rPr>
                <w:rStyle w:val="font21"/>
                <w:rFonts w:hint="default"/>
              </w:rPr>
              <w:t>%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670%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659%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871%</w:t>
            </w:r>
          </w:p>
        </w:tc>
      </w:tr>
      <w:tr w:rsidR="00C90BFC">
        <w:trPr>
          <w:trHeight w:val="510"/>
          <w:jc w:val="center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C90BFC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C90B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C90B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单位收入统筹度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x%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Style w:val="font21"/>
                <w:rFonts w:hint="default"/>
              </w:rPr>
              <w:t>%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Style w:val="font21"/>
                <w:rFonts w:hint="default"/>
              </w:rPr>
              <w:t>%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Style w:val="font21"/>
                <w:rFonts w:hint="default"/>
              </w:rPr>
              <w:t>%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Style w:val="font21"/>
                <w:rFonts w:hint="default"/>
              </w:rPr>
              <w:t>%</w:t>
            </w:r>
          </w:p>
        </w:tc>
      </w:tr>
      <w:tr w:rsidR="00C90BFC">
        <w:trPr>
          <w:trHeight w:val="510"/>
          <w:jc w:val="center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C90BFC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C90B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C90B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预算年终结余</w:t>
            </w:r>
            <w:r>
              <w:rPr>
                <w:rStyle w:val="font21"/>
                <w:rFonts w:hint="default"/>
              </w:rPr>
              <w:t>率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x%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Style w:val="font21"/>
                <w:rFonts w:hint="default"/>
              </w:rPr>
              <w:t>%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Style w:val="font21"/>
                <w:rFonts w:hint="default"/>
              </w:rPr>
              <w:t>%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Style w:val="font21"/>
                <w:rFonts w:hint="default"/>
              </w:rPr>
              <w:t>%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Style w:val="font21"/>
                <w:rFonts w:hint="default"/>
              </w:rPr>
              <w:t>%</w:t>
            </w:r>
          </w:p>
        </w:tc>
      </w:tr>
      <w:tr w:rsidR="00C90BFC">
        <w:trPr>
          <w:trHeight w:val="540"/>
          <w:jc w:val="center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C90BFC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C90B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C90B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一般性支出</w:t>
            </w:r>
            <w:r>
              <w:rPr>
                <w:rStyle w:val="font21"/>
                <w:rFonts w:hint="default"/>
              </w:rPr>
              <w:t>金额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217.8</w:t>
            </w:r>
            <w:r>
              <w:rPr>
                <w:rStyle w:val="font21"/>
                <w:rFonts w:hint="default"/>
              </w:rPr>
              <w:t>万元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217.8</w:t>
            </w:r>
            <w:r>
              <w:rPr>
                <w:rStyle w:val="font21"/>
                <w:rFonts w:hint="default"/>
              </w:rPr>
              <w:t>为上年一般性支出金额</w:t>
            </w:r>
          </w:p>
        </w:tc>
      </w:tr>
      <w:tr w:rsidR="00C90BFC">
        <w:trPr>
          <w:trHeight w:val="540"/>
          <w:jc w:val="center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C90BFC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C90B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财务管理规范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优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建立完善的财务管理制度，财务室岗位设置符合财务管理制度要求，单位资金使用符合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财务管理制度的相关规定。</w:t>
            </w:r>
          </w:p>
        </w:tc>
      </w:tr>
      <w:tr w:rsidR="00C90BFC">
        <w:trPr>
          <w:trHeight w:val="400"/>
          <w:jc w:val="center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C90BFC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C90B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资产管理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tabs>
                <w:tab w:val="left" w:pos="255"/>
              </w:tabs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资产配置预算偏离度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292</w:t>
            </w:r>
            <w:r>
              <w:rPr>
                <w:rStyle w:val="font21"/>
                <w:rFonts w:hint="default"/>
              </w:rPr>
              <w:t>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292</w:t>
            </w:r>
            <w:r>
              <w:rPr>
                <w:rStyle w:val="font21"/>
                <w:rFonts w:hint="default"/>
              </w:rPr>
              <w:t>%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-7</w:t>
            </w:r>
            <w:r>
              <w:rPr>
                <w:rStyle w:val="font21"/>
                <w:rFonts w:hint="default"/>
              </w:rPr>
              <w:t>%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-18%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900%</w:t>
            </w:r>
          </w:p>
        </w:tc>
      </w:tr>
      <w:tr w:rsidR="00C90BFC">
        <w:trPr>
          <w:trHeight w:val="510"/>
          <w:jc w:val="center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C90BFC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C90B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采购管理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采购执行率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  <w:r>
              <w:rPr>
                <w:rStyle w:val="font21"/>
                <w:rFonts w:hint="default"/>
              </w:rPr>
              <w:t>%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  <w:r>
              <w:rPr>
                <w:rStyle w:val="font21"/>
                <w:rFonts w:hint="default"/>
              </w:rPr>
              <w:t>%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  <w:r>
              <w:rPr>
                <w:rStyle w:val="font21"/>
                <w:rFonts w:hint="default"/>
              </w:rPr>
              <w:t>%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  <w:r>
              <w:rPr>
                <w:rStyle w:val="font21"/>
                <w:rFonts w:hint="default"/>
              </w:rPr>
              <w:t>%</w:t>
            </w:r>
          </w:p>
        </w:tc>
      </w:tr>
      <w:tr w:rsidR="00C90BFC">
        <w:trPr>
          <w:trHeight w:val="300"/>
          <w:jc w:val="center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履职效能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5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指标值（包含数字及文字描述）</w:t>
            </w:r>
          </w:p>
        </w:tc>
      </w:tr>
      <w:tr w:rsidR="00C90BFC">
        <w:trPr>
          <w:trHeight w:val="300"/>
          <w:jc w:val="center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C90BFC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任务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组卷报征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</w:t>
            </w:r>
          </w:p>
        </w:tc>
        <w:tc>
          <w:tcPr>
            <w:tcW w:w="5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=1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项（完成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东大道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组卷报征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工作）</w:t>
            </w:r>
          </w:p>
        </w:tc>
      </w:tr>
      <w:tr w:rsidR="00C90BFC">
        <w:trPr>
          <w:trHeight w:val="300"/>
          <w:jc w:val="center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C90BFC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C90B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任务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：研究县城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D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级危房处置工作</w:t>
            </w:r>
          </w:p>
        </w:tc>
        <w:tc>
          <w:tcPr>
            <w:tcW w:w="5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spacing w:line="554" w:lineRule="exact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=457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研究县城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D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级危房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457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户处置工作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</w:tr>
      <w:tr w:rsidR="00C90BFC">
        <w:trPr>
          <w:trHeight w:val="300"/>
          <w:jc w:val="center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C90BFC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C90B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任务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：齐抓共管耕地“大保护”</w:t>
            </w:r>
          </w:p>
        </w:tc>
        <w:tc>
          <w:tcPr>
            <w:tcW w:w="5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spacing w:line="554" w:lineRule="exact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统筹耕地动态监测、国土年度变更调查，及时分析、预警耕地变化趋势和土地利用现状，有序推进耕地常态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化恢复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Cs w:val="21"/>
              </w:rPr>
              <w:t>补充，确保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年耕地总量稳中有增。</w:t>
            </w:r>
          </w:p>
        </w:tc>
      </w:tr>
      <w:tr w:rsidR="00C90BFC">
        <w:trPr>
          <w:trHeight w:val="300"/>
          <w:jc w:val="center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C90BFC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C90B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任务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：做好土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地矿权供应</w:t>
            </w:r>
            <w:proofErr w:type="gramEnd"/>
          </w:p>
        </w:tc>
        <w:tc>
          <w:tcPr>
            <w:tcW w:w="5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spacing w:line="554" w:lineRule="exact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按照“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总量控制、节约集约、有保有压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”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的原则，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统筹确定土地供应总量、结构、布局、时序和方式；强化资源保障，聚焦行业产业发展需求，推进第四轮矿产资源总体规划的实施工作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确保全县的砂石料供应。</w:t>
            </w:r>
          </w:p>
          <w:p w:rsidR="00C90BFC" w:rsidRDefault="00C90BFC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90BFC">
        <w:trPr>
          <w:trHeight w:val="300"/>
          <w:jc w:val="center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C90BFC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C90B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任务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工作进度匹配度</w:t>
            </w:r>
          </w:p>
        </w:tc>
        <w:tc>
          <w:tcPr>
            <w:tcW w:w="5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spacing w:line="554" w:lineRule="exact"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≥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项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完成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泸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永高速、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渝昆高铁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等项目的审计工作。</w:t>
            </w:r>
          </w:p>
          <w:p w:rsidR="00C90BFC" w:rsidRDefault="002150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）</w:t>
            </w:r>
          </w:p>
        </w:tc>
      </w:tr>
      <w:tr w:rsidR="00C90BFC">
        <w:trPr>
          <w:trHeight w:val="300"/>
          <w:jc w:val="center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C90BFC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统筹耕地动态监测、国土年度变更调查，及时分析、预警耕地变化趋势和土地利用现状</w:t>
            </w:r>
          </w:p>
        </w:tc>
        <w:tc>
          <w:tcPr>
            <w:tcW w:w="5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spacing w:line="554" w:lineRule="exact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有序推进耕地常态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化恢复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Cs w:val="21"/>
              </w:rPr>
              <w:t>补充，确保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年耕地总量稳中有增。</w:t>
            </w:r>
          </w:p>
          <w:p w:rsidR="00C90BFC" w:rsidRDefault="00C90BFC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90BFC">
        <w:trPr>
          <w:trHeight w:val="300"/>
          <w:jc w:val="center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C90BFC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C90B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深化改革创新</w:t>
            </w:r>
          </w:p>
        </w:tc>
        <w:tc>
          <w:tcPr>
            <w:tcW w:w="5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FC" w:rsidRDefault="0021500D">
            <w:pPr>
              <w:spacing w:line="554" w:lineRule="exact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形成泸县试点“活样本</w:t>
            </w:r>
          </w:p>
        </w:tc>
      </w:tr>
    </w:tbl>
    <w:p w:rsidR="00C90BFC" w:rsidRDefault="00C90BFC">
      <w:pPr>
        <w:pStyle w:val="2"/>
        <w:spacing w:after="0" w:line="360" w:lineRule="exact"/>
        <w:ind w:leftChars="0" w:left="0"/>
        <w:rPr>
          <w:rFonts w:ascii="黑体" w:eastAsia="黑体" w:hAnsi="黑体" w:cs="黑体"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C90BFC" w:rsidSect="00C90BFC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00D" w:rsidRDefault="0021500D" w:rsidP="00C90BFC">
      <w:r>
        <w:separator/>
      </w:r>
    </w:p>
  </w:endnote>
  <w:endnote w:type="continuationSeparator" w:id="0">
    <w:p w:rsidR="0021500D" w:rsidRDefault="0021500D" w:rsidP="00C90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BFC" w:rsidRDefault="00C90BFC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margin-left:0;margin-top:0;width:35.05pt;height:18.15pt;z-index:251659264;mso-wrap-style:none;mso-position-horizontal:center;mso-position-horizontal-relative:margin" o:gfxdata="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bziEn&#10;0QAAAAMBAAAPAAAAAAAAAAEAIAAAADgAAABkcnMvZG93bnJldi54bWxQSwECFAAUAAAACACHTuJA&#10;Xa/aMxICAAALBAAADgAAAAAAAAABACAAAAA2AQAAZHJzL2Uyb0RvYy54bWxQSwUGAAAAAAYABgBZ&#10;AQAAugUAAAAA&#10;" filled="f" stroked="f">
          <v:textbox style="mso-fit-shape-to-text:t" inset="0,0,0,0">
            <w:txbxContent>
              <w:p w:rsidR="00C90BFC" w:rsidRDefault="00C90BFC">
                <w:pPr>
                  <w:pStyle w:val="a5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21500D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E20E6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00D" w:rsidRDefault="0021500D" w:rsidP="00C90BFC">
      <w:r>
        <w:separator/>
      </w:r>
    </w:p>
  </w:footnote>
  <w:footnote w:type="continuationSeparator" w:id="0">
    <w:p w:rsidR="0021500D" w:rsidRDefault="0021500D" w:rsidP="00C90B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DFF7D2B2"/>
    <w:rsid w:val="DFFD3F1D"/>
    <w:rsid w:val="E4FB3A25"/>
    <w:rsid w:val="E7CB92AA"/>
    <w:rsid w:val="E7FAF4FB"/>
    <w:rsid w:val="E9DEEE15"/>
    <w:rsid w:val="EB77C702"/>
    <w:rsid w:val="EBC5F110"/>
    <w:rsid w:val="EBEBA172"/>
    <w:rsid w:val="ECFD8F35"/>
    <w:rsid w:val="ED3F3FC2"/>
    <w:rsid w:val="EDBB57B5"/>
    <w:rsid w:val="EEFEB7C4"/>
    <w:rsid w:val="EF1E1E82"/>
    <w:rsid w:val="EF4391D8"/>
    <w:rsid w:val="EFAF17D2"/>
    <w:rsid w:val="EFFF0BA6"/>
    <w:rsid w:val="F26AAAB5"/>
    <w:rsid w:val="F31AFD57"/>
    <w:rsid w:val="F37EB0F8"/>
    <w:rsid w:val="F3AECC4A"/>
    <w:rsid w:val="F6FA05D6"/>
    <w:rsid w:val="F7399DFF"/>
    <w:rsid w:val="F7F5BD24"/>
    <w:rsid w:val="F87F252B"/>
    <w:rsid w:val="FB7BFB3E"/>
    <w:rsid w:val="FBF3A623"/>
    <w:rsid w:val="FBF719E6"/>
    <w:rsid w:val="FBFA3E35"/>
    <w:rsid w:val="FBFFE8E4"/>
    <w:rsid w:val="FBFFFF49"/>
    <w:rsid w:val="FCDE3C02"/>
    <w:rsid w:val="FD5AEEC6"/>
    <w:rsid w:val="FD6E494D"/>
    <w:rsid w:val="FD7F6694"/>
    <w:rsid w:val="FDA7A171"/>
    <w:rsid w:val="FDBF84C6"/>
    <w:rsid w:val="FDE75F91"/>
    <w:rsid w:val="FDF9EE9E"/>
    <w:rsid w:val="FECF694A"/>
    <w:rsid w:val="FED7F1AE"/>
    <w:rsid w:val="FEDE67FC"/>
    <w:rsid w:val="FEECC2E2"/>
    <w:rsid w:val="FEFCC1EE"/>
    <w:rsid w:val="FEFFBCA3"/>
    <w:rsid w:val="FF13473F"/>
    <w:rsid w:val="FF6F0AFD"/>
    <w:rsid w:val="FF6F857C"/>
    <w:rsid w:val="FF7CCF18"/>
    <w:rsid w:val="FF7F1659"/>
    <w:rsid w:val="FF8FD0AD"/>
    <w:rsid w:val="FFBFCC87"/>
    <w:rsid w:val="FFCF8E3E"/>
    <w:rsid w:val="FFF3281B"/>
    <w:rsid w:val="FFF808C4"/>
    <w:rsid w:val="FFFF759A"/>
    <w:rsid w:val="FFFFE8DE"/>
    <w:rsid w:val="00065093"/>
    <w:rsid w:val="000B3055"/>
    <w:rsid w:val="000C2AE4"/>
    <w:rsid w:val="00142743"/>
    <w:rsid w:val="00172A27"/>
    <w:rsid w:val="0021500D"/>
    <w:rsid w:val="002740B4"/>
    <w:rsid w:val="00285267"/>
    <w:rsid w:val="002A4B4A"/>
    <w:rsid w:val="002D4EDA"/>
    <w:rsid w:val="002D749B"/>
    <w:rsid w:val="00300D48"/>
    <w:rsid w:val="00306C17"/>
    <w:rsid w:val="0035222B"/>
    <w:rsid w:val="00365DC1"/>
    <w:rsid w:val="004B0800"/>
    <w:rsid w:val="004C4CA9"/>
    <w:rsid w:val="00522CF3"/>
    <w:rsid w:val="00544AFA"/>
    <w:rsid w:val="005450B7"/>
    <w:rsid w:val="0055239E"/>
    <w:rsid w:val="005F59F3"/>
    <w:rsid w:val="00610A6E"/>
    <w:rsid w:val="006415D5"/>
    <w:rsid w:val="00677882"/>
    <w:rsid w:val="0076601F"/>
    <w:rsid w:val="007665EA"/>
    <w:rsid w:val="007A5443"/>
    <w:rsid w:val="007A58B7"/>
    <w:rsid w:val="00831778"/>
    <w:rsid w:val="008526C8"/>
    <w:rsid w:val="008B370B"/>
    <w:rsid w:val="008D4E6D"/>
    <w:rsid w:val="008D5575"/>
    <w:rsid w:val="00934339"/>
    <w:rsid w:val="00934D14"/>
    <w:rsid w:val="00980629"/>
    <w:rsid w:val="00A74031"/>
    <w:rsid w:val="00A81F7A"/>
    <w:rsid w:val="00B147D1"/>
    <w:rsid w:val="00B376BA"/>
    <w:rsid w:val="00B5075C"/>
    <w:rsid w:val="00B51497"/>
    <w:rsid w:val="00B94041"/>
    <w:rsid w:val="00BE3803"/>
    <w:rsid w:val="00C6324D"/>
    <w:rsid w:val="00C90BFC"/>
    <w:rsid w:val="00CA6459"/>
    <w:rsid w:val="00CB5F60"/>
    <w:rsid w:val="00CE20E6"/>
    <w:rsid w:val="00D10D3D"/>
    <w:rsid w:val="00DA036B"/>
    <w:rsid w:val="00E63ABC"/>
    <w:rsid w:val="00E843BF"/>
    <w:rsid w:val="00F02913"/>
    <w:rsid w:val="00F53D7B"/>
    <w:rsid w:val="05AB8092"/>
    <w:rsid w:val="05FDB22B"/>
    <w:rsid w:val="09FF1503"/>
    <w:rsid w:val="12F80E28"/>
    <w:rsid w:val="16DFA240"/>
    <w:rsid w:val="17494CC2"/>
    <w:rsid w:val="1BE261D4"/>
    <w:rsid w:val="1D9F3274"/>
    <w:rsid w:val="1FEF91FD"/>
    <w:rsid w:val="27ED6F9F"/>
    <w:rsid w:val="28F6D6CD"/>
    <w:rsid w:val="2CFF0EB4"/>
    <w:rsid w:val="2D8A29B9"/>
    <w:rsid w:val="2EF5E2DC"/>
    <w:rsid w:val="2FAFF76E"/>
    <w:rsid w:val="35EF1314"/>
    <w:rsid w:val="366F1A5F"/>
    <w:rsid w:val="37DA45EC"/>
    <w:rsid w:val="3BBFDEE8"/>
    <w:rsid w:val="3CB99031"/>
    <w:rsid w:val="3CBAA26C"/>
    <w:rsid w:val="3CFDF9FA"/>
    <w:rsid w:val="3DFDFB18"/>
    <w:rsid w:val="3F7F1091"/>
    <w:rsid w:val="3FDB07A4"/>
    <w:rsid w:val="3FE76E7D"/>
    <w:rsid w:val="3FFB0578"/>
    <w:rsid w:val="47A0D6EF"/>
    <w:rsid w:val="47FD6CCE"/>
    <w:rsid w:val="4BBFB0FF"/>
    <w:rsid w:val="4EFA4C61"/>
    <w:rsid w:val="4FFC7B3B"/>
    <w:rsid w:val="536DD60A"/>
    <w:rsid w:val="567FCEC7"/>
    <w:rsid w:val="57FBB88D"/>
    <w:rsid w:val="59FF4684"/>
    <w:rsid w:val="5BCD02D3"/>
    <w:rsid w:val="5DF59F7B"/>
    <w:rsid w:val="5DFBA577"/>
    <w:rsid w:val="5E5DC502"/>
    <w:rsid w:val="5EEB5B6A"/>
    <w:rsid w:val="5F4FA171"/>
    <w:rsid w:val="5F5FBD7D"/>
    <w:rsid w:val="5F8FA99B"/>
    <w:rsid w:val="5FB8BEF3"/>
    <w:rsid w:val="5FE9C16E"/>
    <w:rsid w:val="5FF634CF"/>
    <w:rsid w:val="62DF69B7"/>
    <w:rsid w:val="66EE2ECD"/>
    <w:rsid w:val="6AD3BFFB"/>
    <w:rsid w:val="6DFB1B49"/>
    <w:rsid w:val="6EBF5CE2"/>
    <w:rsid w:val="6FAE7708"/>
    <w:rsid w:val="6FBBBEF8"/>
    <w:rsid w:val="6FCF8D1D"/>
    <w:rsid w:val="6FFCBC2D"/>
    <w:rsid w:val="72D7B0E7"/>
    <w:rsid w:val="732DEC36"/>
    <w:rsid w:val="73D75DF1"/>
    <w:rsid w:val="73FDD2C5"/>
    <w:rsid w:val="75139AF5"/>
    <w:rsid w:val="75E617C1"/>
    <w:rsid w:val="76C7C84E"/>
    <w:rsid w:val="77740FAC"/>
    <w:rsid w:val="77867F5E"/>
    <w:rsid w:val="77DDAB64"/>
    <w:rsid w:val="77DF2A52"/>
    <w:rsid w:val="77DFC8A2"/>
    <w:rsid w:val="77F6ABE8"/>
    <w:rsid w:val="77FEDC9F"/>
    <w:rsid w:val="77FF4D9C"/>
    <w:rsid w:val="79927EE2"/>
    <w:rsid w:val="79DAD689"/>
    <w:rsid w:val="79FF9803"/>
    <w:rsid w:val="7B5B6289"/>
    <w:rsid w:val="7B5EFAB9"/>
    <w:rsid w:val="7BAEE773"/>
    <w:rsid w:val="7BBF7896"/>
    <w:rsid w:val="7BEF7BC8"/>
    <w:rsid w:val="7BFB8EDE"/>
    <w:rsid w:val="7CEBC185"/>
    <w:rsid w:val="7D7E2856"/>
    <w:rsid w:val="7D7F28DD"/>
    <w:rsid w:val="7D977940"/>
    <w:rsid w:val="7DDF3C77"/>
    <w:rsid w:val="7DEB717F"/>
    <w:rsid w:val="7DF72087"/>
    <w:rsid w:val="7DFB46A5"/>
    <w:rsid w:val="7DFB7762"/>
    <w:rsid w:val="7DFFE7CA"/>
    <w:rsid w:val="7E2EE864"/>
    <w:rsid w:val="7E4DCDCB"/>
    <w:rsid w:val="7E7D69FC"/>
    <w:rsid w:val="7ED6C9C7"/>
    <w:rsid w:val="7EDFF1D9"/>
    <w:rsid w:val="7EED816F"/>
    <w:rsid w:val="7EFF8316"/>
    <w:rsid w:val="7F3F6DB3"/>
    <w:rsid w:val="7F4D314E"/>
    <w:rsid w:val="7F72CD75"/>
    <w:rsid w:val="7F7E8AF7"/>
    <w:rsid w:val="7F8E3C18"/>
    <w:rsid w:val="7F9F3538"/>
    <w:rsid w:val="7FAF5C0C"/>
    <w:rsid w:val="7FBE3894"/>
    <w:rsid w:val="7FBE5E11"/>
    <w:rsid w:val="7FBFCCAD"/>
    <w:rsid w:val="7FCB1364"/>
    <w:rsid w:val="95BD0ABA"/>
    <w:rsid w:val="9EA7E768"/>
    <w:rsid w:val="A89016E2"/>
    <w:rsid w:val="ABB600FC"/>
    <w:rsid w:val="AE5F490A"/>
    <w:rsid w:val="AF2EE5BA"/>
    <w:rsid w:val="B77C5049"/>
    <w:rsid w:val="B7FEB789"/>
    <w:rsid w:val="BCFA8067"/>
    <w:rsid w:val="BDBFECBB"/>
    <w:rsid w:val="BDDE0DA0"/>
    <w:rsid w:val="BDFD8086"/>
    <w:rsid w:val="BEB82F19"/>
    <w:rsid w:val="BEEE6904"/>
    <w:rsid w:val="BF7F4DC4"/>
    <w:rsid w:val="BF7F93FA"/>
    <w:rsid w:val="BFAFA5CC"/>
    <w:rsid w:val="BFDF823A"/>
    <w:rsid w:val="BFED2B31"/>
    <w:rsid w:val="BFEF2AEF"/>
    <w:rsid w:val="BFF75F42"/>
    <w:rsid w:val="BFF995C7"/>
    <w:rsid w:val="BFFB2A3F"/>
    <w:rsid w:val="BFFBA967"/>
    <w:rsid w:val="C0EFB31B"/>
    <w:rsid w:val="C3F761FC"/>
    <w:rsid w:val="CF72C123"/>
    <w:rsid w:val="D3F68669"/>
    <w:rsid w:val="D6BEDAC9"/>
    <w:rsid w:val="D9FD6742"/>
    <w:rsid w:val="DB6D1661"/>
    <w:rsid w:val="DB9E2CD7"/>
    <w:rsid w:val="DBAE050A"/>
    <w:rsid w:val="DBF729A4"/>
    <w:rsid w:val="DDFEC53B"/>
    <w:rsid w:val="DF5FE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C90BFC"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rsid w:val="00C90BFC"/>
    <w:pPr>
      <w:spacing w:after="120" w:line="480" w:lineRule="auto"/>
      <w:ind w:leftChars="200" w:left="420"/>
    </w:pPr>
  </w:style>
  <w:style w:type="paragraph" w:styleId="a3">
    <w:name w:val="Body Text"/>
    <w:basedOn w:val="a"/>
    <w:next w:val="a4"/>
    <w:qFormat/>
    <w:rsid w:val="00C90BFC"/>
    <w:pPr>
      <w:spacing w:after="140" w:line="276" w:lineRule="auto"/>
    </w:pPr>
  </w:style>
  <w:style w:type="paragraph" w:styleId="a4">
    <w:name w:val="header"/>
    <w:basedOn w:val="a"/>
    <w:next w:val="a"/>
    <w:qFormat/>
    <w:rsid w:val="00C90BF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qFormat/>
    <w:rsid w:val="00C90BF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Normal (Web)"/>
    <w:basedOn w:val="a"/>
    <w:qFormat/>
    <w:rsid w:val="00C90BFC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font11">
    <w:name w:val="font11"/>
    <w:basedOn w:val="a0"/>
    <w:qFormat/>
    <w:rsid w:val="00C90BFC"/>
    <w:rPr>
      <w:rFonts w:ascii="宋体" w:eastAsia="宋体" w:hAnsi="宋体" w:cs="宋体" w:hint="eastAsia"/>
      <w:b/>
      <w:bCs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sid w:val="00C90BFC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A90AA6-3AFA-4B87-B40C-1CB296102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2024-09-22T03:51:00Z</cp:lastPrinted>
  <dcterms:created xsi:type="dcterms:W3CDTF">2025-03-20T01:22:00Z</dcterms:created>
  <dcterms:modified xsi:type="dcterms:W3CDTF">2025-03-20T01:22:00Z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2052-12.8.2.16969</vt:lpwstr>
  </property>
  <property fmtid="{D5CDD505-2E9C-101B-9397-08002B2CF9AE}" pid="3" name="ICV">
    <vt:lpwstr>3AF37C8CA9566DD5C4E9E4661543598D_42</vt:lpwstr>
  </property>
</Properties>
</file>